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:rsidR="00272AFC" w:rsidRPr="0066208A" w:rsidRDefault="00272AFC" w:rsidP="00272AFC">
      <w:pPr>
        <w:ind w:left="73" w:right="98"/>
        <w:jc w:val="center"/>
        <w:rPr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Pr="00D917BC">
        <w:rPr>
          <w:rFonts w:ascii="Times New Roman" w:hAnsi="Times New Roman" w:cs="Times New Roman"/>
          <w:b/>
          <w:sz w:val="28"/>
          <w:lang w:val="kk-KZ"/>
        </w:rPr>
        <w:t xml:space="preserve">101800 Актуальные проблемы финансового права Образовательная программа «7М04217 Юриспруденция»  </w:t>
      </w: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  <w:lang w:val="kk-KZ"/>
        </w:rPr>
        <w:t xml:space="preserve"> 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:rsidR="00272AFC" w:rsidRPr="00C81082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Pr="0066208A">
        <w:rPr>
          <w:rFonts w:ascii="Times New Roman" w:hAnsi="Times New Roman"/>
          <w:sz w:val="28"/>
          <w:szCs w:val="28"/>
          <w:lang w:val="kk-KZ"/>
        </w:rPr>
        <w:t>9</w:t>
      </w:r>
    </w:p>
    <w:p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A19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72AFC" w:rsidRDefault="00272AFC" w:rsidP="00272AF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41C3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итогового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экзамена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составлена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на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основе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1C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741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специальности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</w:p>
    <w:p w:rsidR="00272AFC" w:rsidRPr="002741C3" w:rsidRDefault="00272AFC" w:rsidP="00272AFC">
      <w:pPr>
        <w:jc w:val="both"/>
        <w:rPr>
          <w:sz w:val="28"/>
          <w:szCs w:val="28"/>
          <w:lang w:val="kk-KZ"/>
        </w:rPr>
      </w:pPr>
      <w:r w:rsidRPr="00D917BC">
        <w:rPr>
          <w:rFonts w:ascii="Times New Roman" w:hAnsi="Times New Roman" w:cs="Times New Roman"/>
          <w:sz w:val="28"/>
          <w:szCs w:val="28"/>
          <w:lang w:val="kk-KZ"/>
        </w:rPr>
        <w:t xml:space="preserve">д.ю.н., асс., профессором </w:t>
      </w:r>
      <w:r w:rsidRPr="00D917BC">
        <w:rPr>
          <w:rFonts w:ascii="Times New Roman" w:hAnsi="Times New Roman" w:cs="Times New Roman"/>
          <w:sz w:val="28"/>
          <w:szCs w:val="28"/>
        </w:rPr>
        <w:t xml:space="preserve"> </w:t>
      </w:r>
      <w:r w:rsidRPr="00D917BC">
        <w:rPr>
          <w:rFonts w:ascii="Times New Roman" w:hAnsi="Times New Roman" w:cs="Times New Roman"/>
          <w:sz w:val="28"/>
          <w:szCs w:val="28"/>
          <w:lang w:val="kk-KZ"/>
        </w:rPr>
        <w:t>Г.А.Куаналиевой</w:t>
      </w:r>
      <w:r w:rsidRPr="002741C3">
        <w:rPr>
          <w:sz w:val="28"/>
          <w:szCs w:val="28"/>
        </w:rPr>
        <w:t xml:space="preserve"> ________________</w:t>
      </w: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  <w:lang w:val="kk-KZ"/>
        </w:rPr>
      </w:pPr>
    </w:p>
    <w:p w:rsidR="00272AFC" w:rsidRPr="002741C3" w:rsidRDefault="00272AFC" w:rsidP="00272AFC">
      <w:pPr>
        <w:pStyle w:val="a6"/>
        <w:spacing w:before="67"/>
        <w:jc w:val="both"/>
        <w:rPr>
          <w:sz w:val="28"/>
          <w:szCs w:val="28"/>
        </w:rPr>
      </w:pP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>Рассмотрено и утверждено на заседании кафедры таможенного, финансового и экологического права " 04 " июля 2023 г., протокол №20</w:t>
      </w:r>
    </w:p>
    <w:p w:rsidR="00272AFC" w:rsidRPr="0066208A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proofErr w:type="spellStart"/>
      <w:r w:rsidRPr="0066208A">
        <w:rPr>
          <w:color w:val="auto"/>
          <w:sz w:val="28"/>
          <w:szCs w:val="28"/>
        </w:rPr>
        <w:t>Куаналиева</w:t>
      </w:r>
      <w:proofErr w:type="spellEnd"/>
      <w:r w:rsidRPr="0066208A">
        <w:rPr>
          <w:color w:val="auto"/>
          <w:sz w:val="28"/>
          <w:szCs w:val="28"/>
        </w:rPr>
        <w:t xml:space="preserve"> Г. А.</w:t>
      </w: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:rsidR="00272AFC" w:rsidRPr="002741C3" w:rsidRDefault="00272AFC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</w:t>
      </w: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272A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72AFC" w:rsidRPr="00D917BC">
        <w:rPr>
          <w:rFonts w:ascii="Times New Roman" w:hAnsi="Times New Roman" w:cs="Times New Roman"/>
          <w:sz w:val="28"/>
          <w:szCs w:val="28"/>
        </w:rPr>
        <w:t xml:space="preserve">7М04217 Юриспруденция»   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Default="00031433" w:rsidP="00031433">
      <w:pPr>
        <w:pStyle w:val="1"/>
        <w:ind w:firstLine="709"/>
        <w:jc w:val="both"/>
        <w:rPr>
          <w:lang w:val="kk-KZ"/>
        </w:rPr>
      </w:pPr>
    </w:p>
    <w:p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</w:t>
      </w:r>
      <w:proofErr w:type="spellStart"/>
      <w:r w:rsidRPr="00907C81">
        <w:rPr>
          <w:sz w:val="28"/>
          <w:szCs w:val="28"/>
        </w:rPr>
        <w:t>сформированности</w:t>
      </w:r>
      <w:proofErr w:type="spellEnd"/>
      <w:r w:rsidRPr="00907C81">
        <w:rPr>
          <w:sz w:val="28"/>
          <w:szCs w:val="28"/>
        </w:rPr>
        <w:t xml:space="preserve"> компетенций (результатов обучения) на промежуточном контроле и экзаменах. </w:t>
      </w:r>
    </w:p>
    <w:p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6851"/>
      </w:tblGrid>
      <w:tr w:rsidR="00031433" w:rsidTr="00F32792">
        <w:trPr>
          <w:trHeight w:val="275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:rsidTr="00F32792">
        <w:trPr>
          <w:trHeight w:val="1380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:rsidTr="00F32792">
        <w:trPr>
          <w:trHeight w:val="1382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</w:t>
            </w:r>
            <w:proofErr w:type="gramStart"/>
            <w:r w:rsidRPr="00907C81">
              <w:rPr>
                <w:sz w:val="24"/>
                <w:lang w:val="ru-RU"/>
              </w:rPr>
              <w:t>,о</w:t>
            </w:r>
            <w:proofErr w:type="gramEnd"/>
            <w:r w:rsidRPr="00907C81">
              <w:rPr>
                <w:sz w:val="24"/>
                <w:lang w:val="ru-RU"/>
              </w:rPr>
              <w:t>днако</w:t>
            </w:r>
            <w:proofErr w:type="spellEnd"/>
          </w:p>
          <w:p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:rsidTr="00F32792">
        <w:trPr>
          <w:trHeight w:val="827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неполностью</w:t>
            </w:r>
            <w:proofErr w:type="spellEnd"/>
            <w:r w:rsidRPr="00907C81">
              <w:rPr>
                <w:sz w:val="24"/>
                <w:lang w:val="ru-RU"/>
              </w:rPr>
              <w:t>;</w:t>
            </w:r>
          </w:p>
        </w:tc>
      </w:tr>
      <w:tr w:rsidR="00031433" w:rsidTr="00F32792">
        <w:trPr>
          <w:trHeight w:val="553"/>
        </w:trPr>
        <w:tc>
          <w:tcPr>
            <w:tcW w:w="2497" w:type="dxa"/>
          </w:tcPr>
          <w:p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3012CF">
              <w:rPr>
                <w:sz w:val="24"/>
                <w:lang w:val="ru-RU"/>
              </w:rPr>
              <w:t>грамотно</w:t>
            </w:r>
            <w:proofErr w:type="gramStart"/>
            <w:r w:rsidRPr="003012CF">
              <w:rPr>
                <w:sz w:val="24"/>
                <w:lang w:val="ru-RU"/>
              </w:rPr>
              <w:t>,о</w:t>
            </w:r>
            <w:proofErr w:type="gramEnd"/>
            <w:r w:rsidRPr="003012CF">
              <w:rPr>
                <w:sz w:val="24"/>
                <w:lang w:val="ru-RU"/>
              </w:rPr>
              <w:t>днако</w:t>
            </w:r>
            <w:proofErr w:type="spell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031433" w:rsidTr="00F32792">
        <w:trPr>
          <w:trHeight w:val="1104"/>
        </w:trPr>
        <w:tc>
          <w:tcPr>
            <w:tcW w:w="2497" w:type="dxa"/>
          </w:tcPr>
          <w:p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:rsidR="00031433" w:rsidRPr="0019148F" w:rsidRDefault="00031433" w:rsidP="00031433">
      <w:pPr>
        <w:pStyle w:val="a6"/>
        <w:spacing w:before="6"/>
        <w:rPr>
          <w:lang w:val="kk-KZ"/>
        </w:rPr>
      </w:pPr>
      <w:bookmarkStart w:id="0" w:name="_GoBack"/>
      <w:bookmarkEnd w:id="0"/>
    </w:p>
    <w:tbl>
      <w:tblPr>
        <w:tblW w:w="9016" w:type="dxa"/>
        <w:tblInd w:w="124" w:type="dxa"/>
        <w:tblLook w:val="01E0"/>
      </w:tblPr>
      <w:tblGrid>
        <w:gridCol w:w="2497"/>
        <w:gridCol w:w="1765"/>
        <w:gridCol w:w="1908"/>
        <w:gridCol w:w="2846"/>
      </w:tblGrid>
      <w:tr w:rsidR="00031433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  <w:proofErr w:type="gramEnd"/>
          </w:p>
          <w:p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1433" w:rsidRDefault="00031433" w:rsidP="00F32792"/>
        </w:tc>
      </w:tr>
    </w:tbl>
    <w:p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:rsidR="00031433" w:rsidRPr="00907C81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 xml:space="preserve">Финансовая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звено-подразделения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>, нормативно-правовые основы.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государства-это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C750DE">
        <w:rPr>
          <w:rFonts w:ascii="Times New Roman" w:hAnsi="Times New Roman"/>
          <w:sz w:val="28"/>
          <w:szCs w:val="28"/>
        </w:rPr>
        <w:t>Материальное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Финансовое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планирование-одно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r w:rsidRPr="00C750DE">
        <w:rPr>
          <w:rFonts w:ascii="Times New Roman" w:hAnsi="Times New Roman"/>
          <w:sz w:val="28"/>
          <w:szCs w:val="28"/>
        </w:rPr>
        <w:t>контроля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езультат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r w:rsidRPr="00C750DE">
        <w:rPr>
          <w:rFonts w:ascii="Times New Roman" w:hAnsi="Times New Roman"/>
          <w:sz w:val="28"/>
          <w:szCs w:val="28"/>
        </w:rPr>
        <w:t>налогов</w:t>
      </w:r>
      <w:proofErr w:type="gramStart"/>
      <w:r w:rsidRPr="00C750DE">
        <w:rPr>
          <w:rFonts w:ascii="Times New Roman" w:hAnsi="Times New Roman"/>
          <w:sz w:val="28"/>
          <w:szCs w:val="28"/>
        </w:rPr>
        <w:t>.Р</w:t>
      </w:r>
      <w:proofErr w:type="gramEnd"/>
      <w:r w:rsidRPr="00C750DE">
        <w:rPr>
          <w:rFonts w:ascii="Times New Roman" w:hAnsi="Times New Roman"/>
          <w:sz w:val="28"/>
          <w:szCs w:val="28"/>
        </w:rPr>
        <w:t>оль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Pr="00C750DE">
        <w:rPr>
          <w:rFonts w:ascii="Times New Roman" w:hAnsi="Times New Roman"/>
          <w:sz w:val="28"/>
          <w:szCs w:val="28"/>
        </w:rPr>
        <w:t>орган</w:t>
      </w:r>
      <w:proofErr w:type="gramStart"/>
      <w:r w:rsidRPr="00C750DE">
        <w:rPr>
          <w:rFonts w:ascii="Times New Roman" w:hAnsi="Times New Roman"/>
          <w:sz w:val="28"/>
          <w:szCs w:val="28"/>
        </w:rPr>
        <w:t>.З</w:t>
      </w:r>
      <w:proofErr w:type="gramEnd"/>
      <w:r w:rsidRPr="00C750DE">
        <w:rPr>
          <w:rFonts w:ascii="Times New Roman" w:hAnsi="Times New Roman"/>
          <w:sz w:val="28"/>
          <w:szCs w:val="28"/>
        </w:rPr>
        <w:t>акон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</w:t>
      </w:r>
      <w:proofErr w:type="gramStart"/>
      <w:r w:rsidRPr="00C750DE">
        <w:rPr>
          <w:rFonts w:ascii="Times New Roman" w:hAnsi="Times New Roman"/>
          <w:sz w:val="28"/>
          <w:szCs w:val="28"/>
        </w:rPr>
        <w:t xml:space="preserve"> Ф</w:t>
      </w:r>
      <w:proofErr w:type="gramEnd"/>
      <w:r w:rsidRPr="00C750DE">
        <w:rPr>
          <w:rFonts w:ascii="Times New Roman" w:hAnsi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FAC" w:rsidRPr="002F4CDF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02FAC" w:rsidRPr="00E02FAC" w:rsidRDefault="00C07ADB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2FAC" w:rsidRPr="00E02FAC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 xml:space="preserve">При подготовке к экзамену студенту рекомендуется изучить </w:t>
      </w:r>
      <w:proofErr w:type="gramStart"/>
      <w:r w:rsidRPr="002741C3">
        <w:rPr>
          <w:rFonts w:ascii="Times New Roman" w:hAnsi="Times New Roman"/>
          <w:b/>
          <w:sz w:val="28"/>
          <w:szCs w:val="28"/>
        </w:rPr>
        <w:t>следующие</w:t>
      </w:r>
      <w:proofErr w:type="gramEnd"/>
      <w:r w:rsidRPr="002741C3">
        <w:rPr>
          <w:rFonts w:ascii="Times New Roman" w:hAnsi="Times New Roman"/>
          <w:b/>
          <w:sz w:val="28"/>
          <w:szCs w:val="28"/>
        </w:rPr>
        <w:t xml:space="preserve"> НПА и литературу: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Конституция Республики Казахстан. 30 августа 1995 года, с изменениями и дополнениями, </w:t>
      </w:r>
      <w:proofErr w:type="spellStart"/>
      <w:r w:rsidRPr="002741C3">
        <w:rPr>
          <w:rFonts w:ascii="Times New Roman" w:hAnsi="Times New Roman"/>
          <w:sz w:val="28"/>
          <w:szCs w:val="28"/>
        </w:rPr>
        <w:t>эл</w:t>
      </w:r>
      <w:proofErr w:type="gramStart"/>
      <w:r w:rsidRPr="002741C3">
        <w:rPr>
          <w:rFonts w:ascii="Times New Roman" w:hAnsi="Times New Roman"/>
          <w:sz w:val="28"/>
          <w:szCs w:val="28"/>
        </w:rPr>
        <w:t>.б</w:t>
      </w:r>
      <w:proofErr w:type="gramEnd"/>
      <w:r w:rsidRPr="002741C3">
        <w:rPr>
          <w:rFonts w:ascii="Times New Roman" w:hAnsi="Times New Roman"/>
          <w:sz w:val="28"/>
          <w:szCs w:val="28"/>
        </w:rPr>
        <w:t>аза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1C3">
        <w:rPr>
          <w:rFonts w:ascii="Times New Roman" w:hAnsi="Times New Roman"/>
          <w:sz w:val="28"/>
          <w:szCs w:val="28"/>
        </w:rPr>
        <w:t>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</w:t>
      </w:r>
      <w:proofErr w:type="spellStart"/>
      <w:r w:rsidRPr="002741C3">
        <w:rPr>
          <w:rFonts w:ascii="Times New Roman" w:hAnsi="Times New Roman"/>
          <w:sz w:val="28"/>
          <w:szCs w:val="28"/>
        </w:rPr>
        <w:t>adilet.kz</w:t>
      </w:r>
      <w:proofErr w:type="spellEnd"/>
      <w:r w:rsidRPr="002741C3">
        <w:rPr>
          <w:rFonts w:ascii="Times New Roman" w:hAnsi="Times New Roman"/>
          <w:sz w:val="28"/>
          <w:szCs w:val="28"/>
        </w:rPr>
        <w:t>», 2023 г.</w:t>
      </w:r>
      <w:proofErr w:type="gramEnd"/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, М. Т. </w:t>
      </w:r>
      <w:proofErr w:type="spellStart"/>
      <w:r w:rsidRPr="002741C3">
        <w:rPr>
          <w:rFonts w:ascii="Times New Roman" w:hAnsi="Times New Roman"/>
          <w:sz w:val="28"/>
          <w:szCs w:val="28"/>
        </w:rPr>
        <w:t>Какимжанов</w:t>
      </w:r>
      <w:proofErr w:type="spellEnd"/>
      <w:r w:rsidRPr="002741C3">
        <w:rPr>
          <w:rFonts w:ascii="Times New Roman" w:hAnsi="Times New Roman"/>
          <w:sz w:val="28"/>
          <w:szCs w:val="28"/>
        </w:rPr>
        <w:t>.- М.: 2015. – 312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2016. - 256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- во "Эпиграф", 2016. – 390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741C3">
        <w:rPr>
          <w:rFonts w:ascii="Times New Roman" w:hAnsi="Times New Roman"/>
          <w:sz w:val="28"/>
          <w:szCs w:val="28"/>
        </w:rPr>
        <w:t>Куаналиева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Г. А. Финансовое право: Учебное пособие.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Казахский университет, 2017. – 162 </w:t>
      </w:r>
      <w:proofErr w:type="gramStart"/>
      <w:r w:rsidRPr="002741C3">
        <w:rPr>
          <w:rFonts w:ascii="Times New Roman" w:hAnsi="Times New Roman"/>
          <w:sz w:val="28"/>
          <w:szCs w:val="28"/>
        </w:rPr>
        <w:t>с</w:t>
      </w:r>
      <w:proofErr w:type="gramEnd"/>
      <w:r w:rsidRPr="002741C3">
        <w:rPr>
          <w:rFonts w:ascii="Times New Roman" w:hAnsi="Times New Roman"/>
          <w:sz w:val="28"/>
          <w:szCs w:val="28"/>
        </w:rPr>
        <w:t>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2741C3">
        <w:rPr>
          <w:rFonts w:ascii="Times New Roman" w:hAnsi="Times New Roman"/>
          <w:sz w:val="28"/>
          <w:szCs w:val="28"/>
        </w:rPr>
        <w:t>Алматы</w:t>
      </w:r>
      <w:proofErr w:type="spellEnd"/>
      <w:r w:rsidRPr="002741C3">
        <w:rPr>
          <w:rFonts w:ascii="Times New Roman" w:hAnsi="Times New Roman"/>
          <w:sz w:val="28"/>
          <w:szCs w:val="28"/>
        </w:rPr>
        <w:t>, 2018. - 270 с.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</w:t>
      </w:r>
      <w:proofErr w:type="gramStart"/>
      <w:r w:rsidRPr="002741C3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Ручкиной Г.Ф.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М.:Юр</w:t>
      </w:r>
      <w:proofErr w:type="gramStart"/>
      <w:r w:rsidRPr="002741C3">
        <w:rPr>
          <w:rFonts w:ascii="Times New Roman" w:hAnsi="Times New Roman"/>
          <w:sz w:val="28"/>
          <w:szCs w:val="28"/>
        </w:rPr>
        <w:t>.Н</w:t>
      </w:r>
      <w:proofErr w:type="gramEnd"/>
      <w:r w:rsidRPr="002741C3">
        <w:rPr>
          <w:rFonts w:ascii="Times New Roman" w:hAnsi="Times New Roman"/>
          <w:sz w:val="28"/>
          <w:szCs w:val="28"/>
        </w:rPr>
        <w:t>орма</w:t>
      </w:r>
      <w:proofErr w:type="spell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П. ; Под общ</w:t>
      </w:r>
      <w:proofErr w:type="gramStart"/>
      <w:r w:rsidRPr="002741C3">
        <w:rPr>
          <w:rFonts w:ascii="Times New Roman" w:hAnsi="Times New Roman"/>
          <w:sz w:val="28"/>
          <w:szCs w:val="28"/>
        </w:rPr>
        <w:t>.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41C3">
        <w:rPr>
          <w:rFonts w:ascii="Times New Roman" w:hAnsi="Times New Roman"/>
          <w:sz w:val="28"/>
          <w:szCs w:val="28"/>
        </w:rPr>
        <w:t>р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741C3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spellStart"/>
      <w:r w:rsidRPr="002741C3">
        <w:rPr>
          <w:rFonts w:ascii="Times New Roman" w:hAnsi="Times New Roman"/>
          <w:sz w:val="28"/>
          <w:szCs w:val="28"/>
        </w:rPr>
        <w:t>бакалавриата</w:t>
      </w:r>
      <w:proofErr w:type="spellEnd"/>
      <w:proofErr w:type="gramStart"/>
      <w:r w:rsidRPr="002741C3">
        <w:rPr>
          <w:rFonts w:ascii="Times New Roman" w:hAnsi="Times New Roman"/>
          <w:sz w:val="28"/>
          <w:szCs w:val="28"/>
        </w:rPr>
        <w:t xml:space="preserve">  // П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Ашмариной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9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﷽﷽﷽﷽﷽﷽뺭㭓꒏뫝㸀̇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6E0"/>
    <w:rsid w:val="00031433"/>
    <w:rsid w:val="000768DE"/>
    <w:rsid w:val="00272AFC"/>
    <w:rsid w:val="002F4CDF"/>
    <w:rsid w:val="003012CF"/>
    <w:rsid w:val="00372B89"/>
    <w:rsid w:val="00395ACB"/>
    <w:rsid w:val="003A3FA6"/>
    <w:rsid w:val="00453AAF"/>
    <w:rsid w:val="004F35F8"/>
    <w:rsid w:val="005D26E0"/>
    <w:rsid w:val="00666F52"/>
    <w:rsid w:val="00995A19"/>
    <w:rsid w:val="00C07ADB"/>
    <w:rsid w:val="00C46A58"/>
    <w:rsid w:val="00E0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12E-34F5-4F04-A6FC-B714D87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Guldana</cp:lastModifiedBy>
  <cp:revision>11</cp:revision>
  <dcterms:created xsi:type="dcterms:W3CDTF">2022-02-20T15:12:00Z</dcterms:created>
  <dcterms:modified xsi:type="dcterms:W3CDTF">2023-08-27T17:28:00Z</dcterms:modified>
</cp:coreProperties>
</file>